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13" w:rsidRPr="00AF1624" w:rsidRDefault="005E3813" w:rsidP="005E3813">
      <w:pPr>
        <w:widowControl/>
        <w:jc w:val="left"/>
        <w:rPr>
          <w:rFonts w:ascii="华文仿宋" w:eastAsia="华文仿宋" w:hAnsi="华文仿宋"/>
          <w:color w:val="0D0D0D" w:themeColor="text1" w:themeTint="F2"/>
          <w:sz w:val="32"/>
          <w:szCs w:val="32"/>
        </w:rPr>
      </w:pPr>
      <w:r w:rsidRPr="00AF1624">
        <w:rPr>
          <w:rFonts w:ascii="华文仿宋" w:eastAsia="华文仿宋" w:hAnsi="华文仿宋" w:hint="eastAsia"/>
          <w:color w:val="0D0D0D" w:themeColor="text1" w:themeTint="F2"/>
          <w:sz w:val="32"/>
          <w:szCs w:val="32"/>
        </w:rPr>
        <w:t>附件一：</w:t>
      </w:r>
    </w:p>
    <w:p w:rsidR="005E3813" w:rsidRPr="00AF1624" w:rsidRDefault="005E3813" w:rsidP="005E3813">
      <w:pPr>
        <w:widowControl/>
        <w:jc w:val="left"/>
        <w:rPr>
          <w:rFonts w:ascii="华文仿宋" w:eastAsia="华文仿宋" w:hAnsi="华文仿宋"/>
          <w:color w:val="0D0D0D" w:themeColor="text1" w:themeTint="F2"/>
          <w:sz w:val="32"/>
          <w:szCs w:val="32"/>
        </w:rPr>
      </w:pPr>
    </w:p>
    <w:p w:rsidR="005E3813" w:rsidRPr="00AF1624" w:rsidRDefault="005E3813" w:rsidP="005E3813">
      <w:pPr>
        <w:widowControl/>
        <w:jc w:val="center"/>
        <w:rPr>
          <w:rFonts w:ascii="华文仿宋" w:eastAsia="华文仿宋" w:hAnsi="华文仿宋"/>
          <w:b/>
          <w:color w:val="0D0D0D" w:themeColor="text1" w:themeTint="F2"/>
          <w:sz w:val="36"/>
          <w:szCs w:val="36"/>
        </w:rPr>
      </w:pPr>
      <w:r w:rsidRPr="00AF1624">
        <w:rPr>
          <w:rFonts w:ascii="华文仿宋" w:eastAsia="华文仿宋" w:hAnsi="华文仿宋" w:hint="eastAsia"/>
          <w:b/>
          <w:color w:val="0D0D0D" w:themeColor="text1" w:themeTint="F2"/>
          <w:sz w:val="36"/>
          <w:szCs w:val="36"/>
        </w:rPr>
        <w:t>讲师简介</w:t>
      </w:r>
    </w:p>
    <w:p w:rsidR="005E3813" w:rsidRPr="00AF1624" w:rsidRDefault="005E3813" w:rsidP="005E3813">
      <w:pPr>
        <w:widowControl/>
        <w:jc w:val="left"/>
        <w:rPr>
          <w:rFonts w:ascii="华文仿宋" w:eastAsia="华文仿宋" w:hAnsi="华文仿宋"/>
          <w:b/>
          <w:color w:val="0D0D0D" w:themeColor="text1" w:themeTint="F2"/>
          <w:sz w:val="32"/>
          <w:szCs w:val="32"/>
        </w:rPr>
      </w:pPr>
    </w:p>
    <w:p w:rsidR="005E3813" w:rsidRPr="00AF1624" w:rsidRDefault="005E3813" w:rsidP="005E3813">
      <w:pPr>
        <w:widowControl/>
        <w:ind w:firstLineChars="200" w:firstLine="641"/>
        <w:jc w:val="left"/>
        <w:rPr>
          <w:rFonts w:ascii="华文仿宋" w:eastAsia="华文仿宋" w:hAnsi="华文仿宋"/>
          <w:b/>
          <w:color w:val="0D0D0D" w:themeColor="text1" w:themeTint="F2"/>
          <w:sz w:val="32"/>
          <w:szCs w:val="32"/>
        </w:rPr>
      </w:pPr>
      <w:r w:rsidRPr="00AF1624">
        <w:rPr>
          <w:rFonts w:ascii="华文仿宋" w:eastAsia="华文仿宋" w:hAnsi="华文仿宋" w:hint="eastAsia"/>
          <w:b/>
          <w:color w:val="0D0D0D" w:themeColor="text1" w:themeTint="F2"/>
          <w:sz w:val="32"/>
          <w:szCs w:val="32"/>
        </w:rPr>
        <w:t>一、“穿透式监管”</w:t>
      </w:r>
    </w:p>
    <w:p w:rsidR="005E3813" w:rsidRPr="00AF1624" w:rsidRDefault="005E3813" w:rsidP="005E3813">
      <w:pPr>
        <w:widowControl/>
        <w:ind w:firstLineChars="200" w:firstLine="641"/>
        <w:jc w:val="left"/>
        <w:rPr>
          <w:rFonts w:ascii="华文仿宋" w:eastAsia="华文仿宋" w:hAnsi="华文仿宋"/>
          <w:b/>
          <w:color w:val="0D0D0D" w:themeColor="text1" w:themeTint="F2"/>
          <w:sz w:val="32"/>
          <w:szCs w:val="32"/>
        </w:rPr>
      </w:pPr>
      <w:r w:rsidRPr="00AF1624">
        <w:rPr>
          <w:rFonts w:ascii="华文仿宋" w:eastAsia="华文仿宋" w:hAnsi="华文仿宋" w:hint="eastAsia"/>
          <w:b/>
          <w:color w:val="0D0D0D" w:themeColor="text1" w:themeTint="F2"/>
          <w:sz w:val="32"/>
          <w:szCs w:val="32"/>
        </w:rPr>
        <w:t>主讲人：谢青</w:t>
      </w:r>
    </w:p>
    <w:p w:rsidR="005E3813" w:rsidRPr="00AF1624" w:rsidRDefault="005E3813" w:rsidP="005E3813">
      <w:pPr>
        <w:widowControl/>
        <w:ind w:firstLineChars="200" w:firstLine="640"/>
        <w:jc w:val="left"/>
        <w:rPr>
          <w:rFonts w:ascii="华文仿宋" w:eastAsia="华文仿宋" w:hAnsi="华文仿宋"/>
          <w:color w:val="0D0D0D" w:themeColor="text1" w:themeTint="F2"/>
          <w:sz w:val="32"/>
          <w:szCs w:val="32"/>
        </w:rPr>
      </w:pPr>
      <w:r w:rsidRPr="00AF1624">
        <w:rPr>
          <w:rFonts w:ascii="华文仿宋" w:eastAsia="华文仿宋" w:hAnsi="华文仿宋" w:hint="eastAsia"/>
          <w:color w:val="0D0D0D" w:themeColor="text1" w:themeTint="F2"/>
          <w:sz w:val="32"/>
          <w:szCs w:val="32"/>
        </w:rPr>
        <w:t>“穿透式监管”是2018年金融监管关键词之一。凭借对金融市场的深入了解以及监管动向的入微观察，被多家国内外媒体评为投资基金行业领先律师的谢青律师将为您解说各类“穿透”新</w:t>
      </w:r>
      <w:proofErr w:type="gramStart"/>
      <w:r w:rsidRPr="00AF1624">
        <w:rPr>
          <w:rFonts w:ascii="华文仿宋" w:eastAsia="华文仿宋" w:hAnsi="华文仿宋" w:hint="eastAsia"/>
          <w:color w:val="0D0D0D" w:themeColor="text1" w:themeTint="F2"/>
          <w:sz w:val="32"/>
          <w:szCs w:val="32"/>
        </w:rPr>
        <w:t>规</w:t>
      </w:r>
      <w:proofErr w:type="gramEnd"/>
      <w:r w:rsidRPr="00AF1624">
        <w:rPr>
          <w:rFonts w:ascii="华文仿宋" w:eastAsia="华文仿宋" w:hAnsi="华文仿宋" w:hint="eastAsia"/>
          <w:color w:val="0D0D0D" w:themeColor="text1" w:themeTint="F2"/>
          <w:sz w:val="32"/>
          <w:szCs w:val="32"/>
        </w:rPr>
        <w:t>的由来及演变，评估对投资和交易业务的影响，并试图预测其发展走向。</w:t>
      </w:r>
    </w:p>
    <w:p w:rsidR="005E3813" w:rsidRPr="00AF1624" w:rsidRDefault="005E3813" w:rsidP="005E3813">
      <w:pPr>
        <w:widowControl/>
        <w:ind w:firstLineChars="200" w:firstLine="640"/>
        <w:jc w:val="left"/>
        <w:rPr>
          <w:rFonts w:ascii="华文仿宋" w:eastAsia="华文仿宋" w:hAnsi="华文仿宋"/>
          <w:color w:val="0D0D0D" w:themeColor="text1" w:themeTint="F2"/>
          <w:sz w:val="32"/>
          <w:szCs w:val="32"/>
        </w:rPr>
      </w:pPr>
    </w:p>
    <w:p w:rsidR="005E3813" w:rsidRPr="00AF1624" w:rsidRDefault="005E3813" w:rsidP="005E3813">
      <w:pPr>
        <w:widowControl/>
        <w:ind w:firstLineChars="200" w:firstLine="641"/>
        <w:jc w:val="left"/>
        <w:rPr>
          <w:rFonts w:ascii="华文仿宋" w:eastAsia="华文仿宋" w:hAnsi="华文仿宋"/>
          <w:b/>
          <w:color w:val="0D0D0D" w:themeColor="text1" w:themeTint="F2"/>
          <w:sz w:val="32"/>
          <w:szCs w:val="32"/>
        </w:rPr>
      </w:pPr>
      <w:r w:rsidRPr="00AF1624">
        <w:rPr>
          <w:rFonts w:ascii="华文仿宋" w:eastAsia="华文仿宋" w:hAnsi="华文仿宋" w:hint="eastAsia"/>
          <w:b/>
          <w:color w:val="0D0D0D" w:themeColor="text1" w:themeTint="F2"/>
          <w:sz w:val="32"/>
          <w:szCs w:val="32"/>
        </w:rPr>
        <w:t>二、“证券监管执法动向及趋势”</w:t>
      </w:r>
    </w:p>
    <w:p w:rsidR="005E3813" w:rsidRPr="00AF1624" w:rsidRDefault="005E3813" w:rsidP="005E3813">
      <w:pPr>
        <w:widowControl/>
        <w:ind w:firstLineChars="200" w:firstLine="641"/>
        <w:jc w:val="left"/>
        <w:rPr>
          <w:rFonts w:ascii="华文仿宋" w:eastAsia="华文仿宋" w:hAnsi="华文仿宋"/>
          <w:b/>
          <w:color w:val="0D0D0D" w:themeColor="text1" w:themeTint="F2"/>
          <w:sz w:val="32"/>
          <w:szCs w:val="32"/>
        </w:rPr>
      </w:pPr>
      <w:r w:rsidRPr="00AF1624">
        <w:rPr>
          <w:rFonts w:ascii="华文仿宋" w:eastAsia="华文仿宋" w:hAnsi="华文仿宋" w:hint="eastAsia"/>
          <w:b/>
          <w:color w:val="0D0D0D" w:themeColor="text1" w:themeTint="F2"/>
          <w:sz w:val="32"/>
          <w:szCs w:val="32"/>
        </w:rPr>
        <w:t>主讲人：吴曼</w:t>
      </w:r>
    </w:p>
    <w:p w:rsidR="005E3813" w:rsidRPr="00AF1624" w:rsidRDefault="005E3813" w:rsidP="005E3813">
      <w:pPr>
        <w:widowControl/>
        <w:ind w:firstLineChars="200" w:firstLine="640"/>
        <w:jc w:val="left"/>
        <w:rPr>
          <w:rFonts w:ascii="华文仿宋" w:eastAsia="华文仿宋" w:hAnsi="华文仿宋"/>
          <w:color w:val="0D0D0D" w:themeColor="text1" w:themeTint="F2"/>
          <w:sz w:val="32"/>
          <w:szCs w:val="32"/>
        </w:rPr>
      </w:pPr>
      <w:r w:rsidRPr="00AF1624">
        <w:rPr>
          <w:rFonts w:ascii="华文仿宋" w:eastAsia="华文仿宋" w:hAnsi="华文仿宋" w:hint="eastAsia"/>
          <w:color w:val="0D0D0D" w:themeColor="text1" w:themeTint="F2"/>
          <w:sz w:val="32"/>
          <w:szCs w:val="32"/>
        </w:rPr>
        <w:t>拥有十三年证监系统一线监管及多次参与资本市场法规制定的丰富经历，吴曼律师凭借深厚的专业积累和行业经验，对2015年股市异常波动以来证券监管执法的新动向和新趋势进行全方位的解读。</w:t>
      </w:r>
    </w:p>
    <w:p w:rsidR="005E3813" w:rsidRPr="00AF1624" w:rsidRDefault="005E3813" w:rsidP="005E3813">
      <w:pPr>
        <w:widowControl/>
        <w:ind w:firstLineChars="200" w:firstLine="640"/>
        <w:jc w:val="left"/>
        <w:rPr>
          <w:rFonts w:ascii="华文仿宋" w:eastAsia="华文仿宋" w:hAnsi="华文仿宋"/>
          <w:color w:val="0D0D0D" w:themeColor="text1" w:themeTint="F2"/>
          <w:sz w:val="32"/>
          <w:szCs w:val="32"/>
        </w:rPr>
      </w:pPr>
    </w:p>
    <w:p w:rsidR="005E3813" w:rsidRPr="00AF1624" w:rsidRDefault="005E3813" w:rsidP="005E3813">
      <w:pPr>
        <w:widowControl/>
        <w:ind w:firstLineChars="200" w:firstLine="641"/>
        <w:jc w:val="left"/>
        <w:rPr>
          <w:rFonts w:ascii="华文仿宋" w:eastAsia="华文仿宋" w:hAnsi="华文仿宋"/>
          <w:b/>
          <w:color w:val="0D0D0D" w:themeColor="text1" w:themeTint="F2"/>
          <w:sz w:val="32"/>
          <w:szCs w:val="32"/>
        </w:rPr>
      </w:pPr>
      <w:r w:rsidRPr="00AF1624">
        <w:rPr>
          <w:rFonts w:ascii="华文仿宋" w:eastAsia="华文仿宋" w:hAnsi="华文仿宋" w:hint="eastAsia"/>
          <w:b/>
          <w:color w:val="0D0D0D" w:themeColor="text1" w:themeTint="F2"/>
          <w:sz w:val="32"/>
          <w:szCs w:val="32"/>
        </w:rPr>
        <w:t>三、“证券犯罪典型案例分析”</w:t>
      </w:r>
    </w:p>
    <w:p w:rsidR="005E3813" w:rsidRPr="00AF1624" w:rsidRDefault="005E3813" w:rsidP="005E3813">
      <w:pPr>
        <w:widowControl/>
        <w:ind w:firstLineChars="200" w:firstLine="641"/>
        <w:jc w:val="left"/>
        <w:rPr>
          <w:rFonts w:ascii="华文仿宋" w:eastAsia="华文仿宋" w:hAnsi="华文仿宋"/>
          <w:b/>
          <w:color w:val="0D0D0D" w:themeColor="text1" w:themeTint="F2"/>
          <w:sz w:val="32"/>
          <w:szCs w:val="32"/>
        </w:rPr>
      </w:pPr>
      <w:r w:rsidRPr="00AF1624">
        <w:rPr>
          <w:rFonts w:ascii="华文仿宋" w:eastAsia="华文仿宋" w:hAnsi="华文仿宋" w:hint="eastAsia"/>
          <w:b/>
          <w:color w:val="0D0D0D" w:themeColor="text1" w:themeTint="F2"/>
          <w:sz w:val="32"/>
          <w:szCs w:val="32"/>
        </w:rPr>
        <w:lastRenderedPageBreak/>
        <w:t>主讲人：武雷</w:t>
      </w:r>
    </w:p>
    <w:p w:rsidR="005E3813" w:rsidRPr="00AF1624" w:rsidRDefault="005E3813" w:rsidP="005E3813">
      <w:pPr>
        <w:widowControl/>
        <w:ind w:firstLineChars="200" w:firstLine="640"/>
        <w:jc w:val="left"/>
        <w:rPr>
          <w:rFonts w:ascii="华文仿宋" w:eastAsia="华文仿宋" w:hAnsi="华文仿宋"/>
          <w:color w:val="0D0D0D" w:themeColor="text1" w:themeTint="F2"/>
          <w:sz w:val="32"/>
          <w:szCs w:val="32"/>
        </w:rPr>
      </w:pPr>
      <w:r w:rsidRPr="00AF1624">
        <w:rPr>
          <w:rFonts w:ascii="华文仿宋" w:eastAsia="华文仿宋" w:hAnsi="华文仿宋" w:hint="eastAsia"/>
          <w:color w:val="0D0D0D" w:themeColor="text1" w:themeTint="F2"/>
          <w:sz w:val="32"/>
          <w:szCs w:val="32"/>
        </w:rPr>
        <w:t>君合 “重案组”致力于证券刑事案件专门领域，经办若干重大复杂刑案，对位骨干律师皆为长期从事刑事司法工作的前资深检察官和前资深法官。武雷律师作为君合“重案组”组长，将对君合“重案组”经办的典型刑事案例进行深度剖析。</w:t>
      </w:r>
    </w:p>
    <w:p w:rsidR="005E3813" w:rsidRPr="00AF1624" w:rsidRDefault="005E3813" w:rsidP="005E3813">
      <w:pPr>
        <w:widowControl/>
        <w:ind w:firstLineChars="200" w:firstLine="640"/>
        <w:jc w:val="left"/>
        <w:rPr>
          <w:rFonts w:ascii="华文仿宋" w:eastAsia="华文仿宋" w:hAnsi="华文仿宋"/>
          <w:color w:val="0D0D0D" w:themeColor="text1" w:themeTint="F2"/>
          <w:sz w:val="32"/>
          <w:szCs w:val="32"/>
        </w:rPr>
      </w:pPr>
    </w:p>
    <w:p w:rsidR="005E3813" w:rsidRPr="00AF1624" w:rsidRDefault="005E3813" w:rsidP="005E3813">
      <w:pPr>
        <w:widowControl/>
        <w:ind w:firstLineChars="200" w:firstLine="641"/>
        <w:jc w:val="left"/>
        <w:rPr>
          <w:rFonts w:ascii="华文仿宋" w:eastAsia="华文仿宋" w:hAnsi="华文仿宋"/>
          <w:b/>
          <w:color w:val="0D0D0D" w:themeColor="text1" w:themeTint="F2"/>
          <w:sz w:val="32"/>
          <w:szCs w:val="32"/>
        </w:rPr>
      </w:pPr>
      <w:r w:rsidRPr="00AF1624">
        <w:rPr>
          <w:rFonts w:ascii="华文仿宋" w:eastAsia="华文仿宋" w:hAnsi="华文仿宋" w:hint="eastAsia"/>
          <w:b/>
          <w:color w:val="0D0D0D" w:themeColor="text1" w:themeTint="F2"/>
          <w:sz w:val="32"/>
          <w:szCs w:val="32"/>
        </w:rPr>
        <w:t>四、“金融机构违反投资者适当性义务的民事责任”</w:t>
      </w:r>
    </w:p>
    <w:p w:rsidR="005E3813" w:rsidRPr="00AF1624" w:rsidRDefault="005E3813" w:rsidP="005E3813">
      <w:pPr>
        <w:widowControl/>
        <w:ind w:firstLineChars="200" w:firstLine="641"/>
        <w:jc w:val="left"/>
        <w:rPr>
          <w:rFonts w:ascii="华文仿宋" w:eastAsia="华文仿宋" w:hAnsi="华文仿宋"/>
          <w:b/>
          <w:color w:val="0D0D0D" w:themeColor="text1" w:themeTint="F2"/>
          <w:sz w:val="32"/>
          <w:szCs w:val="32"/>
        </w:rPr>
      </w:pPr>
      <w:r w:rsidRPr="00AF1624">
        <w:rPr>
          <w:rFonts w:ascii="华文仿宋" w:eastAsia="华文仿宋" w:hAnsi="华文仿宋" w:hint="eastAsia"/>
          <w:b/>
          <w:color w:val="0D0D0D" w:themeColor="text1" w:themeTint="F2"/>
          <w:sz w:val="32"/>
          <w:szCs w:val="32"/>
        </w:rPr>
        <w:t>主讲人：郑玉</w:t>
      </w:r>
    </w:p>
    <w:p w:rsidR="005E3813" w:rsidRPr="00AF1624" w:rsidRDefault="005E3813" w:rsidP="005E3813">
      <w:pPr>
        <w:widowControl/>
        <w:ind w:firstLineChars="200" w:firstLine="640"/>
        <w:jc w:val="left"/>
        <w:rPr>
          <w:rFonts w:ascii="华文仿宋" w:eastAsia="华文仿宋" w:hAnsi="华文仿宋"/>
          <w:color w:val="0D0D0D" w:themeColor="text1" w:themeTint="F2"/>
          <w:sz w:val="32"/>
          <w:szCs w:val="32"/>
        </w:rPr>
      </w:pPr>
      <w:r w:rsidRPr="00AF1624">
        <w:rPr>
          <w:rFonts w:ascii="华文仿宋" w:eastAsia="华文仿宋" w:hAnsi="华文仿宋" w:hint="eastAsia"/>
          <w:color w:val="0D0D0D" w:themeColor="text1" w:themeTint="F2"/>
          <w:sz w:val="32"/>
          <w:szCs w:val="32"/>
        </w:rPr>
        <w:t>郑玉曾就职于上海检察机关金融检察部门，拥有十一年出庭公诉、检察监督经验的前资深检察官，将从金融机构的投资者适当性规定处罚，解析司法实践中认定民事责任的判断标准。</w:t>
      </w:r>
    </w:p>
    <w:p w:rsidR="005E3813" w:rsidRPr="00AF1624" w:rsidRDefault="005E3813" w:rsidP="005E3813">
      <w:pPr>
        <w:widowControl/>
        <w:ind w:firstLineChars="200" w:firstLine="640"/>
        <w:jc w:val="left"/>
        <w:rPr>
          <w:rFonts w:ascii="华文仿宋" w:eastAsia="华文仿宋" w:hAnsi="华文仿宋"/>
          <w:color w:val="0D0D0D" w:themeColor="text1" w:themeTint="F2"/>
          <w:sz w:val="32"/>
          <w:szCs w:val="32"/>
        </w:rPr>
      </w:pPr>
    </w:p>
    <w:p w:rsidR="005E3813" w:rsidRPr="00AF1624" w:rsidRDefault="005E3813" w:rsidP="005E3813">
      <w:pPr>
        <w:widowControl/>
        <w:ind w:firstLineChars="200" w:firstLine="641"/>
        <w:jc w:val="left"/>
        <w:rPr>
          <w:rFonts w:ascii="华文仿宋" w:eastAsia="华文仿宋" w:hAnsi="华文仿宋"/>
          <w:b/>
          <w:color w:val="0D0D0D" w:themeColor="text1" w:themeTint="F2"/>
          <w:sz w:val="32"/>
          <w:szCs w:val="32"/>
        </w:rPr>
      </w:pPr>
      <w:r w:rsidRPr="00AF1624">
        <w:rPr>
          <w:rFonts w:ascii="华文仿宋" w:eastAsia="华文仿宋" w:hAnsi="华文仿宋" w:hint="eastAsia"/>
          <w:b/>
          <w:color w:val="0D0D0D" w:themeColor="text1" w:themeTint="F2"/>
          <w:sz w:val="32"/>
          <w:szCs w:val="32"/>
        </w:rPr>
        <w:t>五、“数据安全与资本市场”</w:t>
      </w:r>
    </w:p>
    <w:p w:rsidR="005E3813" w:rsidRPr="00AF1624" w:rsidRDefault="005E3813" w:rsidP="005E3813">
      <w:pPr>
        <w:widowControl/>
        <w:ind w:firstLineChars="200" w:firstLine="641"/>
        <w:jc w:val="left"/>
        <w:rPr>
          <w:rFonts w:ascii="华文仿宋" w:eastAsia="华文仿宋" w:hAnsi="华文仿宋"/>
          <w:b/>
          <w:color w:val="0D0D0D" w:themeColor="text1" w:themeTint="F2"/>
          <w:sz w:val="32"/>
          <w:szCs w:val="32"/>
        </w:rPr>
      </w:pPr>
      <w:r w:rsidRPr="00AF1624">
        <w:rPr>
          <w:rFonts w:ascii="华文仿宋" w:eastAsia="华文仿宋" w:hAnsi="华文仿宋" w:hint="eastAsia"/>
          <w:b/>
          <w:color w:val="0D0D0D" w:themeColor="text1" w:themeTint="F2"/>
          <w:sz w:val="32"/>
          <w:szCs w:val="32"/>
        </w:rPr>
        <w:t>主讲人：陈歆</w:t>
      </w:r>
    </w:p>
    <w:p w:rsidR="005E3813" w:rsidRPr="00AF1624" w:rsidRDefault="005E3813" w:rsidP="005E3813">
      <w:pPr>
        <w:widowControl/>
        <w:ind w:firstLineChars="200" w:firstLine="640"/>
        <w:jc w:val="left"/>
        <w:rPr>
          <w:rFonts w:ascii="华文仿宋" w:eastAsia="华文仿宋" w:hAnsi="华文仿宋"/>
          <w:color w:val="0D0D0D" w:themeColor="text1" w:themeTint="F2"/>
          <w:sz w:val="32"/>
          <w:szCs w:val="32"/>
        </w:rPr>
      </w:pPr>
      <w:r w:rsidRPr="00AF1624">
        <w:rPr>
          <w:rFonts w:ascii="华文仿宋" w:eastAsia="华文仿宋" w:hAnsi="华文仿宋" w:hint="eastAsia"/>
          <w:color w:val="0D0D0D" w:themeColor="text1" w:themeTint="F2"/>
          <w:sz w:val="32"/>
          <w:szCs w:val="32"/>
        </w:rPr>
        <w:t>网络安全法与证券基金经营机构存在着必然联系。对于买方以及卖方机构，数据保护和信息安全已经不拘泥于一般性的合</w:t>
      </w:r>
      <w:proofErr w:type="gramStart"/>
      <w:r w:rsidRPr="00AF1624">
        <w:rPr>
          <w:rFonts w:ascii="华文仿宋" w:eastAsia="华文仿宋" w:hAnsi="华文仿宋" w:hint="eastAsia"/>
          <w:color w:val="0D0D0D" w:themeColor="text1" w:themeTint="F2"/>
          <w:sz w:val="32"/>
          <w:szCs w:val="32"/>
        </w:rPr>
        <w:t>规</w:t>
      </w:r>
      <w:proofErr w:type="gramEnd"/>
      <w:r w:rsidRPr="00AF1624">
        <w:rPr>
          <w:rFonts w:ascii="华文仿宋" w:eastAsia="华文仿宋" w:hAnsi="华文仿宋" w:hint="eastAsia"/>
          <w:color w:val="0D0D0D" w:themeColor="text1" w:themeTint="F2"/>
          <w:sz w:val="32"/>
          <w:szCs w:val="32"/>
        </w:rPr>
        <w:t>要求，还可能涉及行政以及刑事处罚。拥有十余年服务金融机构的陈歆律师将对交易中容易被忽视的法律要求进行阐述及解析，以规避潜在的风险以及陷阱。</w:t>
      </w:r>
    </w:p>
    <w:p w:rsidR="00FE7FBF" w:rsidRPr="005E3813" w:rsidRDefault="00FE7FBF">
      <w:bookmarkStart w:id="0" w:name="_GoBack"/>
      <w:bookmarkEnd w:id="0"/>
    </w:p>
    <w:sectPr w:rsidR="00FE7FBF" w:rsidRPr="005E3813" w:rsidSect="005E3813">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813"/>
    <w:rsid w:val="005E3813"/>
    <w:rsid w:val="00FE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zxy</dc:creator>
  <cp:lastModifiedBy>zxy</cp:lastModifiedBy>
  <cp:revision>1</cp:revision>
  <dcterms:created xsi:type="dcterms:W3CDTF">2018-04-09T08:33:00Z</dcterms:created>
  <dcterms:modified xsi:type="dcterms:W3CDTF">2018-04-09T08:33:00Z</dcterms:modified>
</cp:coreProperties>
</file>